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33D" w:rsidRDefault="00E5233D" w:rsidP="00E5233D">
      <w:pPr>
        <w:jc w:val="center"/>
        <w:rPr>
          <w:rFonts w:ascii="Tahoma" w:hAnsi="Tahoma" w:cs="Tahoma"/>
          <w:color w:val="808080"/>
          <w:sz w:val="20"/>
          <w:szCs w:val="20"/>
        </w:rPr>
      </w:pPr>
      <w:r>
        <w:rPr>
          <w:rStyle w:val="Enfasigrassetto"/>
          <w:rFonts w:ascii="Tahoma" w:hAnsi="Tahoma" w:cs="Tahoma"/>
          <w:color w:val="808080"/>
          <w:sz w:val="48"/>
          <w:szCs w:val="48"/>
        </w:rPr>
        <w:t>museo tridentino di scienze naturali</w:t>
      </w:r>
    </w:p>
    <w:p w:rsidR="00E5233D" w:rsidRDefault="00E5233D" w:rsidP="00E5233D">
      <w:pPr>
        <w:jc w:val="center"/>
        <w:rPr>
          <w:rStyle w:val="Enfasigrassetto"/>
        </w:rPr>
      </w:pPr>
      <w:r>
        <w:rPr>
          <w:rStyle w:val="Enfasigrassetto"/>
          <w:rFonts w:ascii="Tahoma" w:hAnsi="Tahoma" w:cs="Tahoma"/>
          <w:color w:val="808080"/>
        </w:rPr>
        <w:t>comunicato stampa</w:t>
      </w:r>
      <w:r>
        <w:rPr>
          <w:rFonts w:ascii="Tahoma" w:hAnsi="Tahoma" w:cs="Tahoma"/>
          <w:color w:val="808080"/>
        </w:rPr>
        <w:t>  </w:t>
      </w:r>
      <w:r>
        <w:rPr>
          <w:rFonts w:ascii="Tahoma" w:hAnsi="Tahoma" w:cs="Tahoma"/>
          <w:b/>
          <w:bCs/>
          <w:color w:val="808080"/>
        </w:rPr>
        <w:t>                                                                         15 aprile 2010</w:t>
      </w:r>
    </w:p>
    <w:p w:rsidR="00E5233D" w:rsidRDefault="00E5233D" w:rsidP="00E5233D"/>
    <w:p w:rsidR="00E5233D" w:rsidRDefault="00E5233D" w:rsidP="00E5233D"/>
    <w:p w:rsidR="00E5233D" w:rsidRDefault="00E5233D" w:rsidP="00E5233D">
      <w:pPr>
        <w:jc w:val="center"/>
        <w:rPr>
          <w:color w:val="000080"/>
        </w:rPr>
      </w:pPr>
    </w:p>
    <w:p w:rsidR="00E5233D" w:rsidRDefault="00E5233D" w:rsidP="00E5233D">
      <w:pPr>
        <w:jc w:val="center"/>
        <w:rPr>
          <w:color w:val="0070C0"/>
        </w:rPr>
      </w:pPr>
    </w:p>
    <w:p w:rsidR="00E5233D" w:rsidRDefault="00E5233D" w:rsidP="00E5233D">
      <w:pPr>
        <w:pStyle w:val="Nessunaspaziatura"/>
        <w:jc w:val="center"/>
        <w:rPr>
          <w:b/>
          <w:bCs/>
          <w:color w:val="0070C0"/>
          <w:sz w:val="40"/>
          <w:szCs w:val="40"/>
        </w:rPr>
      </w:pPr>
      <w:r>
        <w:rPr>
          <w:b/>
          <w:bCs/>
          <w:color w:val="0070C0"/>
          <w:sz w:val="40"/>
          <w:szCs w:val="40"/>
        </w:rPr>
        <w:t>POMERIGGIO AL MUSEO PER IMPARARE A COSTRUIRE UN MODELLINO</w:t>
      </w:r>
    </w:p>
    <w:p w:rsidR="00E5233D" w:rsidRDefault="00E5233D" w:rsidP="00E5233D">
      <w:pPr>
        <w:pStyle w:val="Nessunaspaziatura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con il Gruppo Modellistico Trentino di studio e ricerca storica</w:t>
      </w:r>
    </w:p>
    <w:p w:rsidR="00E5233D" w:rsidRDefault="00E5233D" w:rsidP="00E5233D">
      <w:pPr>
        <w:pStyle w:val="Nessunaspaziatura"/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Museo dell’Aeronautica Gianni Caproni, 17 e 24 aprile 2010</w:t>
      </w:r>
    </w:p>
    <w:p w:rsidR="00E5233D" w:rsidRDefault="00E5233D" w:rsidP="00E5233D">
      <w:pPr>
        <w:pStyle w:val="Nessunaspaziatura"/>
        <w:jc w:val="center"/>
        <w:rPr>
          <w:i/>
          <w:iCs/>
          <w:sz w:val="28"/>
          <w:szCs w:val="28"/>
        </w:rPr>
      </w:pPr>
      <w:r>
        <w:rPr>
          <w:i/>
          <w:iCs/>
          <w:sz w:val="28"/>
          <w:szCs w:val="28"/>
        </w:rPr>
        <w:t>dalle 15.00</w:t>
      </w:r>
    </w:p>
    <w:p w:rsidR="00E5233D" w:rsidRDefault="00E5233D" w:rsidP="00E5233D">
      <w:pPr>
        <w:pStyle w:val="Nessunaspaziatura"/>
        <w:jc w:val="center"/>
        <w:rPr>
          <w:i/>
          <w:iCs/>
          <w:color w:val="0070C0"/>
          <w:sz w:val="28"/>
          <w:szCs w:val="28"/>
        </w:rPr>
      </w:pPr>
      <w:r>
        <w:rPr>
          <w:i/>
          <w:iCs/>
          <w:color w:val="0070C0"/>
          <w:sz w:val="28"/>
          <w:szCs w:val="28"/>
        </w:rPr>
        <w:t>per adulti e ragazzi</w:t>
      </w:r>
    </w:p>
    <w:p w:rsidR="00E5233D" w:rsidRDefault="00E5233D" w:rsidP="00E5233D">
      <w:pPr>
        <w:pStyle w:val="Nessunaspaziatura"/>
        <w:jc w:val="center"/>
      </w:pPr>
    </w:p>
    <w:p w:rsidR="00E5233D" w:rsidRDefault="00E5233D" w:rsidP="00E5233D">
      <w:pPr>
        <w:pStyle w:val="Nessunaspaziatura"/>
        <w:jc w:val="center"/>
      </w:pPr>
      <w:r>
        <w:rPr>
          <w:noProof/>
        </w:rPr>
        <w:drawing>
          <wp:inline distT="0" distB="0" distL="0" distR="0">
            <wp:extent cx="3133090" cy="2083435"/>
            <wp:effectExtent l="19050" t="0" r="0" b="0"/>
            <wp:docPr id="1" name="Immagine 0" descr="mb-339-3-trecce-tricolori-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0" descr="mb-339-3-trecce-tricolori-4.gif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090" cy="2083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5233D" w:rsidRDefault="00E5233D" w:rsidP="00E5233D">
      <w:pPr>
        <w:pStyle w:val="Nessunaspaziatura"/>
        <w:jc w:val="center"/>
      </w:pPr>
    </w:p>
    <w:p w:rsidR="00E5233D" w:rsidRDefault="00E5233D" w:rsidP="00E5233D">
      <w:pPr>
        <w:pStyle w:val="Nessunaspaziatura"/>
        <w:jc w:val="center"/>
      </w:pPr>
    </w:p>
    <w:p w:rsidR="00E5233D" w:rsidRDefault="00E5233D" w:rsidP="00E5233D">
      <w:pPr>
        <w:rPr>
          <w:rFonts w:ascii="Tahoma" w:hAnsi="Tahoma" w:cs="Tahoma"/>
          <w:color w:val="000000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Scaric</w:t>
      </w:r>
      <w:r>
        <w:rPr>
          <w:rFonts w:ascii="Tahoma" w:hAnsi="Tahoma" w:cs="Tahoma"/>
          <w:color w:val="000000"/>
          <w:sz w:val="20"/>
          <w:szCs w:val="20"/>
        </w:rPr>
        <w:t>a:</w:t>
      </w:r>
    </w:p>
    <w:p w:rsidR="00E5233D" w:rsidRDefault="00E5233D" w:rsidP="00E5233D">
      <w:pPr>
        <w:rPr>
          <w:rFonts w:ascii="Tahoma" w:hAnsi="Tahoma" w:cs="Tahoma"/>
          <w:color w:val="000000"/>
          <w:sz w:val="20"/>
          <w:szCs w:val="20"/>
        </w:rPr>
      </w:pPr>
      <w:hyperlink r:id="rId6" w:history="1">
        <w:r>
          <w:rPr>
            <w:rStyle w:val="Collegamentoipertestuale"/>
            <w:rFonts w:ascii="Tahoma" w:hAnsi="Tahoma" w:cs="Tahoma"/>
            <w:color w:val="000000"/>
            <w:sz w:val="20"/>
            <w:szCs w:val="20"/>
          </w:rPr>
          <w:t>immagine 1</w:t>
        </w:r>
      </w:hyperlink>
      <w:r>
        <w:rPr>
          <w:rFonts w:ascii="Tahoma" w:hAnsi="Tahoma" w:cs="Tahoma"/>
          <w:color w:val="000000"/>
          <w:sz w:val="20"/>
          <w:szCs w:val="20"/>
        </w:rPr>
        <w:t xml:space="preserve"> – </w:t>
      </w:r>
      <w:hyperlink r:id="rId7" w:history="1">
        <w:r>
          <w:rPr>
            <w:rStyle w:val="Collegamentoipertestuale"/>
            <w:rFonts w:ascii="Tahoma" w:hAnsi="Tahoma" w:cs="Tahoma"/>
            <w:color w:val="000000"/>
            <w:sz w:val="20"/>
            <w:szCs w:val="20"/>
          </w:rPr>
          <w:t>immagine 2</w:t>
        </w:r>
      </w:hyperlink>
      <w:r>
        <w:rPr>
          <w:rFonts w:ascii="Tahoma" w:hAnsi="Tahoma" w:cs="Tahoma"/>
          <w:color w:val="000000"/>
          <w:sz w:val="20"/>
          <w:szCs w:val="20"/>
        </w:rPr>
        <w:t xml:space="preserve"> – </w:t>
      </w:r>
      <w:hyperlink r:id="rId8" w:history="1">
        <w:r>
          <w:rPr>
            <w:rStyle w:val="Collegamentoipertestuale"/>
            <w:rFonts w:ascii="Tahoma" w:hAnsi="Tahoma" w:cs="Tahoma"/>
            <w:color w:val="000000"/>
            <w:sz w:val="20"/>
            <w:szCs w:val="20"/>
          </w:rPr>
          <w:t>scheda gruppo modellistico trentino</w:t>
        </w:r>
      </w:hyperlink>
    </w:p>
    <w:p w:rsidR="00E5233D" w:rsidRDefault="00E5233D" w:rsidP="00E5233D">
      <w:pPr>
        <w:pStyle w:val="Nessunaspaziatura"/>
        <w:spacing w:line="360" w:lineRule="auto"/>
        <w:jc w:val="both"/>
        <w:rPr>
          <w:rFonts w:ascii="Tahoma" w:hAnsi="Tahoma" w:cs="Tahoma"/>
        </w:rPr>
      </w:pPr>
    </w:p>
    <w:p w:rsidR="00E5233D" w:rsidRDefault="00E5233D" w:rsidP="00E5233D">
      <w:pPr>
        <w:pStyle w:val="Nessunaspaziatura"/>
        <w:spacing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</w:rPr>
        <w:t xml:space="preserve">Chi, da ragazzo, non si è mai cimentato nella costruzione fai da te di una macchinina o di una </w:t>
      </w:r>
      <w:proofErr w:type="spellStart"/>
      <w:r>
        <w:rPr>
          <w:rFonts w:ascii="Tahoma" w:hAnsi="Tahoma" w:cs="Tahoma"/>
        </w:rPr>
        <w:t>aeroplanino</w:t>
      </w:r>
      <w:proofErr w:type="spellEnd"/>
      <w:r>
        <w:rPr>
          <w:rFonts w:ascii="Tahoma" w:hAnsi="Tahoma" w:cs="Tahoma"/>
        </w:rPr>
        <w:t xml:space="preserve"> con i materiali che aveva a disposizione a casa? Il </w:t>
      </w:r>
      <w:r>
        <w:rPr>
          <w:rFonts w:ascii="Tahoma" w:hAnsi="Tahoma" w:cs="Tahoma"/>
          <w:b/>
          <w:bCs/>
        </w:rPr>
        <w:t>Gruppo Modellistico Trentino di studio e ricerca storica</w:t>
      </w:r>
      <w:r>
        <w:rPr>
          <w:rFonts w:ascii="Tahoma" w:hAnsi="Tahoma" w:cs="Tahoma"/>
        </w:rPr>
        <w:t xml:space="preserve">, in occasione della </w:t>
      </w:r>
      <w:r>
        <w:rPr>
          <w:rFonts w:ascii="Tahoma" w:hAnsi="Tahoma" w:cs="Tahoma"/>
          <w:b/>
          <w:bCs/>
          <w:color w:val="0070C0"/>
        </w:rPr>
        <w:t>Mostra-Concorso di Modellismo Statico “Città di Trento”</w:t>
      </w:r>
      <w:r>
        <w:rPr>
          <w:rFonts w:ascii="Tahoma" w:hAnsi="Tahoma" w:cs="Tahoma"/>
        </w:rPr>
        <w:t xml:space="preserve">, in </w:t>
      </w:r>
      <w:r>
        <w:rPr>
          <w:rFonts w:ascii="Tahoma" w:hAnsi="Tahoma" w:cs="Tahoma"/>
          <w:color w:val="000000"/>
        </w:rPr>
        <w:t xml:space="preserve">corso fino al 2 maggio presso il </w:t>
      </w:r>
      <w:r>
        <w:rPr>
          <w:rFonts w:ascii="Tahoma" w:hAnsi="Tahoma" w:cs="Tahoma"/>
          <w:b/>
          <w:bCs/>
          <w:color w:val="000000"/>
        </w:rPr>
        <w:t>Museo dell’Aeronautica Gianni Caproni di Trento</w:t>
      </w:r>
      <w:r>
        <w:rPr>
          <w:rFonts w:ascii="Tahoma" w:hAnsi="Tahoma" w:cs="Tahoma"/>
          <w:color w:val="000000"/>
        </w:rPr>
        <w:t xml:space="preserve">, organizza per </w:t>
      </w:r>
      <w:r>
        <w:rPr>
          <w:rFonts w:ascii="Tahoma" w:hAnsi="Tahoma" w:cs="Tahoma"/>
          <w:b/>
          <w:bCs/>
          <w:color w:val="000000"/>
        </w:rPr>
        <w:t>sabato 17 aprile e sabato 24 aprile</w:t>
      </w:r>
      <w:r>
        <w:rPr>
          <w:rFonts w:ascii="Tahoma" w:hAnsi="Tahoma" w:cs="Tahoma"/>
          <w:color w:val="000000"/>
        </w:rPr>
        <w:t xml:space="preserve">, a partire dalle ore 15.00, due pomeriggi dedicati ai ragazzi per </w:t>
      </w:r>
      <w:r>
        <w:rPr>
          <w:rFonts w:ascii="Tahoma" w:hAnsi="Tahoma" w:cs="Tahoma"/>
          <w:b/>
          <w:bCs/>
          <w:color w:val="000000"/>
        </w:rPr>
        <w:t>l’avviamento pratico al modellismo</w:t>
      </w:r>
      <w:r>
        <w:rPr>
          <w:rFonts w:ascii="Tahoma" w:hAnsi="Tahoma" w:cs="Tahoma"/>
          <w:color w:val="000000"/>
        </w:rPr>
        <w:t>.</w:t>
      </w:r>
    </w:p>
    <w:p w:rsidR="00E5233D" w:rsidRDefault="00E5233D" w:rsidP="00E5233D">
      <w:pPr>
        <w:pStyle w:val="Nessunaspaziatura"/>
        <w:spacing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 xml:space="preserve">L’iniziativa si svolgerà presso l’aula didattica del Museo G. Caproni e si avvarrà della presenza dei più qualificati soci e modellisti del Gruppo Modellistico Trentino, operante nel campo del modellismo e della ricerca storica da trent’anni. </w:t>
      </w:r>
    </w:p>
    <w:p w:rsidR="00E5233D" w:rsidRDefault="00E5233D" w:rsidP="00E5233D">
      <w:pPr>
        <w:pStyle w:val="Nessunaspaziatura"/>
        <w:spacing w:line="360" w:lineRule="auto"/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 xml:space="preserve">Sperimentando sul campo le diverse fasi di realizzazione di un modello, sarà possibile sviluppare non solo la tecnica e la manualità, ma anche orientarsi efficacemente nella consultazione di testi storici o tecnici, approfondendo le conoscenze relative al periodo e al contesto storico di </w:t>
      </w:r>
      <w:r>
        <w:rPr>
          <w:rFonts w:ascii="Tahoma" w:hAnsi="Tahoma" w:cs="Tahoma"/>
          <w:color w:val="000000"/>
        </w:rPr>
        <w:lastRenderedPageBreak/>
        <w:t>riferimento. Nel caso di branche modellistiche che non trovino precisa corrispondenza storica, come nel caso del fantasy e della fantascienza, la manualità, le tecniche pittoriche diversificate e la creazione di particolari scenari presentano comunque, anche per i più giovani, elementi di potente fascinazione e coinvolgimento emozionale.</w:t>
      </w:r>
    </w:p>
    <w:p w:rsidR="00E5233D" w:rsidRDefault="00E5233D" w:rsidP="00E5233D">
      <w:pPr>
        <w:pStyle w:val="Nessunaspaziatura"/>
        <w:spacing w:line="360" w:lineRule="auto"/>
        <w:jc w:val="both"/>
        <w:rPr>
          <w:rFonts w:ascii="Tahoma" w:hAnsi="Tahoma" w:cs="Tahoma"/>
          <w:color w:val="000000"/>
        </w:rPr>
      </w:pPr>
    </w:p>
    <w:p w:rsidR="00E5233D" w:rsidRDefault="00E5233D" w:rsidP="00E5233D">
      <w:pPr>
        <w:pStyle w:val="Nessunaspaziatura"/>
        <w:spacing w:line="360" w:lineRule="auto"/>
        <w:jc w:val="both"/>
      </w:pPr>
      <w:r>
        <w:rPr>
          <w:rFonts w:ascii="Tahoma" w:hAnsi="Tahoma" w:cs="Tahoma"/>
          <w:color w:val="000000"/>
        </w:rPr>
        <w:t>Le dimostrazioni di modellismo statico, dedicate a tutte le fasce di età e calibrate sulle differenti capacità dei partecipanti, saranno estremamente semplici e consisteranno in piccoli “laboratori” che propongono un primo approccio al modellismo mediante l’uso dei colori e mediante l’assemblaggio di modelli, da colorare in un secondo tempo. </w:t>
      </w:r>
      <w:r>
        <w:rPr>
          <w:rFonts w:ascii="Arial" w:hAnsi="Arial" w:cs="Arial"/>
          <w:color w:val="000000"/>
          <w:sz w:val="24"/>
          <w:szCs w:val="24"/>
        </w:rPr>
        <w:t> </w:t>
      </w:r>
    </w:p>
    <w:p w:rsidR="00E5233D" w:rsidRDefault="00E5233D" w:rsidP="00E5233D">
      <w:pPr>
        <w:pStyle w:val="Nessunaspaziatura"/>
        <w:spacing w:line="360" w:lineRule="auto"/>
        <w:jc w:val="both"/>
      </w:pPr>
      <w:r>
        <w:t> </w:t>
      </w:r>
    </w:p>
    <w:sectPr w:rsidR="00E5233D" w:rsidSect="00DB7BA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283"/>
  <w:characterSpacingControl w:val="doNotCompress"/>
  <w:compat/>
  <w:rsids>
    <w:rsidRoot w:val="00E5233D"/>
    <w:rsid w:val="00DB7BAD"/>
    <w:rsid w:val="00E523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5233D"/>
    <w:pPr>
      <w:spacing w:after="0" w:line="240" w:lineRule="auto"/>
    </w:pPr>
    <w:rPr>
      <w:rFonts w:ascii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semiHidden/>
    <w:unhideWhenUsed/>
    <w:rsid w:val="00E5233D"/>
    <w:rPr>
      <w:color w:val="0000FF"/>
      <w:u w:val="single"/>
    </w:rPr>
  </w:style>
  <w:style w:type="paragraph" w:styleId="Nessunaspaziatura">
    <w:name w:val="No Spacing"/>
    <w:basedOn w:val="Normale"/>
    <w:uiPriority w:val="99"/>
    <w:qFormat/>
    <w:rsid w:val="00E5233D"/>
    <w:rPr>
      <w:rFonts w:ascii="Calibri" w:hAnsi="Calibri" w:cs="Calibri"/>
      <w:sz w:val="22"/>
      <w:szCs w:val="22"/>
    </w:rPr>
  </w:style>
  <w:style w:type="character" w:styleId="Enfasigrassetto">
    <w:name w:val="Strong"/>
    <w:basedOn w:val="Carpredefinitoparagrafo"/>
    <w:uiPriority w:val="22"/>
    <w:qFormat/>
    <w:rsid w:val="00E5233D"/>
    <w:rPr>
      <w:b/>
      <w:bCs/>
    </w:rPr>
  </w:style>
  <w:style w:type="character" w:styleId="Enfasicorsivo">
    <w:name w:val="Emphasis"/>
    <w:basedOn w:val="Carpredefinitoparagrafo"/>
    <w:uiPriority w:val="20"/>
    <w:qFormat/>
    <w:rsid w:val="00E5233D"/>
    <w:rPr>
      <w:i/>
      <w:i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233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233D"/>
    <w:rPr>
      <w:rFonts w:ascii="Tahoma" w:hAnsi="Tahoma" w:cs="Tahoma"/>
      <w:sz w:val="16"/>
      <w:szCs w:val="16"/>
      <w:lang w:eastAsia="it-I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87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tsn.tn.it/uploadfile/allegati/2010/gmt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mtsn.tn.it/uploadfile/allegati/2010/mb-339-3-trecce-tricolori-4.gi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tsn.tn.it/uploadfile/allegati/2010/dscn0338.jpg" TargetMode="External"/><Relationship Id="rId5" Type="http://schemas.openxmlformats.org/officeDocument/2006/relationships/image" Target="cid:image001.jpg@01CADC8D.AA17DAF0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363</Words>
  <Characters>2070</Characters>
  <Application>Microsoft Office Word</Application>
  <DocSecurity>0</DocSecurity>
  <Lines>17</Lines>
  <Paragraphs>4</Paragraphs>
  <ScaleCrop>false</ScaleCrop>
  <Company>Museo Tridentino Scienze Naturali di Trento</Company>
  <LinksUpToDate>false</LinksUpToDate>
  <CharactersWithSpaces>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chiara.veronesi</dc:creator>
  <cp:keywords/>
  <dc:description/>
  <cp:lastModifiedBy>chiara.veronesi</cp:lastModifiedBy>
  <cp:revision>2</cp:revision>
  <dcterms:created xsi:type="dcterms:W3CDTF">2010-04-15T09:56:00Z</dcterms:created>
  <dcterms:modified xsi:type="dcterms:W3CDTF">2010-04-15T09:56:00Z</dcterms:modified>
</cp:coreProperties>
</file>